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75E" w:rsidRPr="008E2FEF" w:rsidRDefault="0016142D" w:rsidP="008E2FEF">
      <w:pPr>
        <w:jc w:val="both"/>
        <w:rPr>
          <w:rFonts w:ascii="Calibri" w:hAnsi="Calibri" w:cs="Calibri"/>
          <w:b/>
          <w:sz w:val="36"/>
          <w:szCs w:val="36"/>
        </w:rPr>
      </w:pPr>
      <w:r>
        <w:rPr>
          <w:rFonts w:ascii="Calibri" w:hAnsi="Calibri" w:cs="Calibri"/>
          <w:b/>
          <w:sz w:val="36"/>
          <w:szCs w:val="36"/>
        </w:rPr>
        <w:t>ESGUICHO PARA CANHÃO MONITOR</w:t>
      </w:r>
    </w:p>
    <w:p w:rsidR="004B314D" w:rsidRDefault="00450F3B" w:rsidP="004B314D">
      <w:pPr>
        <w:jc w:val="both"/>
        <w:rPr>
          <w:rFonts w:ascii="Calibri" w:hAnsi="Calibri" w:cs="Calibri"/>
          <w:b/>
          <w:sz w:val="36"/>
          <w:szCs w:val="36"/>
        </w:rPr>
      </w:pPr>
      <w:r w:rsidRPr="008E2FEF">
        <w:rPr>
          <w:rFonts w:ascii="Calibri" w:hAnsi="Calibri" w:cs="Calibri"/>
          <w:b/>
          <w:sz w:val="36"/>
          <w:szCs w:val="36"/>
        </w:rPr>
        <w:t xml:space="preserve">MODELO </w:t>
      </w:r>
      <w:r w:rsidR="00367650">
        <w:rPr>
          <w:rFonts w:ascii="Calibri" w:hAnsi="Calibri" w:cs="Calibri"/>
          <w:b/>
          <w:sz w:val="36"/>
          <w:szCs w:val="36"/>
        </w:rPr>
        <w:t>ULTRA SE</w:t>
      </w:r>
      <w:r w:rsidR="004B314D">
        <w:rPr>
          <w:rFonts w:ascii="Calibri" w:hAnsi="Calibri" w:cs="Calibri"/>
          <w:b/>
          <w:sz w:val="36"/>
          <w:szCs w:val="36"/>
        </w:rPr>
        <w:t xml:space="preserve"> 800-1250</w:t>
      </w:r>
    </w:p>
    <w:p w:rsidR="00367650" w:rsidRDefault="00367650" w:rsidP="00367650">
      <w:pPr>
        <w:jc w:val="right"/>
        <w:rPr>
          <w:rFonts w:ascii="Calibri" w:hAnsi="Calibri" w:cs="Calibri"/>
          <w:b/>
          <w:sz w:val="36"/>
          <w:szCs w:val="36"/>
        </w:rPr>
      </w:pPr>
      <w:r>
        <w:rPr>
          <w:noProof/>
        </w:rPr>
        <w:drawing>
          <wp:inline distT="0" distB="0" distL="0" distR="0">
            <wp:extent cx="2291080" cy="2773045"/>
            <wp:effectExtent l="19050" t="0" r="0" b="0"/>
            <wp:docPr id="8" name="Imagem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080" cy="277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CEF" w:rsidRPr="008E2FEF" w:rsidRDefault="00562CEF" w:rsidP="004B314D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8E2FEF">
        <w:rPr>
          <w:rFonts w:ascii="Calibri" w:hAnsi="Calibri" w:cs="Calibri"/>
          <w:b/>
          <w:i/>
          <w:color w:val="FF0000"/>
          <w:u w:val="single"/>
        </w:rPr>
        <w:t>Descrição:</w:t>
      </w:r>
    </w:p>
    <w:p w:rsidR="00441BA3" w:rsidRDefault="00562CEF" w:rsidP="008E2FEF">
      <w:p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O</w:t>
      </w:r>
      <w:r w:rsidR="0016142D">
        <w:rPr>
          <w:rFonts w:ascii="Calibri" w:hAnsi="Calibri" w:cs="Calibri"/>
        </w:rPr>
        <w:t xml:space="preserve"> esguicho modelo </w:t>
      </w:r>
      <w:r w:rsidR="004B314D">
        <w:rPr>
          <w:rFonts w:ascii="Calibri" w:hAnsi="Calibri" w:cs="Calibri"/>
        </w:rPr>
        <w:t xml:space="preserve">ULTRA </w:t>
      </w:r>
      <w:r w:rsidR="00367650">
        <w:rPr>
          <w:rFonts w:ascii="Calibri" w:hAnsi="Calibri" w:cs="Calibri"/>
        </w:rPr>
        <w:t>SE</w:t>
      </w:r>
      <w:r w:rsidR="004B314D">
        <w:rPr>
          <w:rFonts w:ascii="Calibri" w:hAnsi="Calibri" w:cs="Calibri"/>
        </w:rPr>
        <w:t xml:space="preserve"> 800-1250</w:t>
      </w:r>
      <w:r w:rsidR="0016142D">
        <w:rPr>
          <w:rFonts w:ascii="Calibri" w:hAnsi="Calibri" w:cs="Calibri"/>
        </w:rPr>
        <w:t xml:space="preserve"> tem configuração de vazão fixa</w:t>
      </w:r>
      <w:r w:rsidR="003D5B0B">
        <w:rPr>
          <w:rFonts w:ascii="Calibri" w:hAnsi="Calibri" w:cs="Calibri"/>
        </w:rPr>
        <w:t xml:space="preserve">, também possui característica de </w:t>
      </w:r>
      <w:proofErr w:type="spellStart"/>
      <w:r w:rsidR="003D5B0B">
        <w:rPr>
          <w:rFonts w:ascii="Calibri" w:hAnsi="Calibri" w:cs="Calibri"/>
        </w:rPr>
        <w:t>auto-edução</w:t>
      </w:r>
      <w:proofErr w:type="spellEnd"/>
      <w:r w:rsidR="003D5B0B">
        <w:rPr>
          <w:rFonts w:ascii="Calibri" w:hAnsi="Calibri" w:cs="Calibri"/>
        </w:rPr>
        <w:t xml:space="preserve"> de </w:t>
      </w:r>
      <w:proofErr w:type="spellStart"/>
      <w:r w:rsidR="003D5B0B">
        <w:rPr>
          <w:rFonts w:ascii="Calibri" w:hAnsi="Calibri" w:cs="Calibri"/>
        </w:rPr>
        <w:t>LGE</w:t>
      </w:r>
      <w:proofErr w:type="spellEnd"/>
      <w:r w:rsidR="0016142D">
        <w:rPr>
          <w:rFonts w:ascii="Calibri" w:hAnsi="Calibri" w:cs="Calibri"/>
        </w:rPr>
        <w:t xml:space="preserve"> e é designado para utilização em conjunto com canhões monitores da linha Ultra, para as mais diversas aplicações, inclusive em áreas com atmosferas agressivas. O esguicho </w:t>
      </w:r>
      <w:r w:rsidR="004B314D">
        <w:rPr>
          <w:rFonts w:ascii="Calibri" w:hAnsi="Calibri" w:cs="Calibri"/>
        </w:rPr>
        <w:t xml:space="preserve">ULTRA </w:t>
      </w:r>
      <w:r w:rsidR="00367650">
        <w:rPr>
          <w:rFonts w:ascii="Calibri" w:hAnsi="Calibri" w:cs="Calibri"/>
        </w:rPr>
        <w:t>SE</w:t>
      </w:r>
      <w:r w:rsidR="004B314D">
        <w:rPr>
          <w:rFonts w:ascii="Calibri" w:hAnsi="Calibri" w:cs="Calibri"/>
        </w:rPr>
        <w:t xml:space="preserve"> 800-1250</w:t>
      </w:r>
      <w:r w:rsidR="0016142D">
        <w:rPr>
          <w:rFonts w:ascii="Calibri" w:hAnsi="Calibri" w:cs="Calibri"/>
        </w:rPr>
        <w:t xml:space="preserve"> é pré</w:t>
      </w:r>
      <w:r w:rsidR="00441BA3">
        <w:rPr>
          <w:rFonts w:ascii="Calibri" w:hAnsi="Calibri" w:cs="Calibri"/>
        </w:rPr>
        <w:t xml:space="preserve"> -</w:t>
      </w:r>
      <w:r w:rsidR="0016142D">
        <w:rPr>
          <w:rFonts w:ascii="Calibri" w:hAnsi="Calibri" w:cs="Calibri"/>
        </w:rPr>
        <w:t xml:space="preserve"> calibrado na fábrica para operação com vazão entre 800 gpm a </w:t>
      </w:r>
      <w:r w:rsidR="003D5B0B">
        <w:rPr>
          <w:rFonts w:ascii="Calibri" w:hAnsi="Calibri" w:cs="Calibri"/>
        </w:rPr>
        <w:t>1</w:t>
      </w:r>
      <w:r w:rsidR="0016142D">
        <w:rPr>
          <w:rFonts w:ascii="Calibri" w:hAnsi="Calibri" w:cs="Calibri"/>
        </w:rPr>
        <w:t>2</w:t>
      </w:r>
      <w:r w:rsidR="003D5B0B">
        <w:rPr>
          <w:rFonts w:ascii="Calibri" w:hAnsi="Calibri" w:cs="Calibri"/>
        </w:rPr>
        <w:t>50</w:t>
      </w:r>
      <w:r w:rsidR="0016142D">
        <w:rPr>
          <w:rFonts w:ascii="Calibri" w:hAnsi="Calibri" w:cs="Calibri"/>
        </w:rPr>
        <w:t xml:space="preserve"> gpm (</w:t>
      </w:r>
      <w:r w:rsidR="003D5B0B">
        <w:rPr>
          <w:rFonts w:ascii="Calibri" w:hAnsi="Calibri" w:cs="Calibri"/>
        </w:rPr>
        <w:t>3030</w:t>
      </w:r>
      <w:r w:rsidR="0016142D">
        <w:rPr>
          <w:rFonts w:ascii="Calibri" w:hAnsi="Calibri" w:cs="Calibri"/>
        </w:rPr>
        <w:t xml:space="preserve"> a </w:t>
      </w:r>
      <w:r w:rsidR="002F2A43">
        <w:rPr>
          <w:rFonts w:ascii="Calibri" w:hAnsi="Calibri" w:cs="Calibri"/>
        </w:rPr>
        <w:t>473</w:t>
      </w:r>
      <w:r w:rsidR="003D5B0B">
        <w:rPr>
          <w:rFonts w:ascii="Calibri" w:hAnsi="Calibri" w:cs="Calibri"/>
        </w:rPr>
        <w:t>0</w:t>
      </w:r>
      <w:r w:rsidR="0016142D">
        <w:rPr>
          <w:rFonts w:ascii="Calibri" w:hAnsi="Calibri" w:cs="Calibri"/>
        </w:rPr>
        <w:t xml:space="preserve"> lpm)</w:t>
      </w:r>
      <w:r w:rsidR="00441BA3">
        <w:rPr>
          <w:rFonts w:ascii="Calibri" w:hAnsi="Calibri" w:cs="Calibri"/>
        </w:rPr>
        <w:t>.</w:t>
      </w:r>
    </w:p>
    <w:p w:rsidR="00441BA3" w:rsidRDefault="00441BA3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A alteração da forma do jato (compacto, meia neblina e neblina total) é facilmente realizada, através do seu volante, mesmo com o esguicho operando em altas pressões, o esguicho oferece excelente padrão de jato neblina, através de sua área de descarga provida de dentes giratórios, também é excelente para aplicação de espuma do tipo </w:t>
      </w:r>
      <w:proofErr w:type="spellStart"/>
      <w:r>
        <w:rPr>
          <w:rFonts w:ascii="Calibri" w:hAnsi="Calibri" w:cs="Calibri"/>
        </w:rPr>
        <w:t>AFFF</w:t>
      </w:r>
      <w:proofErr w:type="spellEnd"/>
      <w:r w:rsidR="00487AB0">
        <w:rPr>
          <w:rFonts w:ascii="Calibri" w:hAnsi="Calibri" w:cs="Calibri"/>
        </w:rPr>
        <w:t>,</w:t>
      </w:r>
      <w:r w:rsidR="003D5B0B">
        <w:rPr>
          <w:rFonts w:ascii="Calibri" w:hAnsi="Calibri" w:cs="Calibri"/>
        </w:rPr>
        <w:t xml:space="preserve"> através do princípio de </w:t>
      </w:r>
      <w:proofErr w:type="spellStart"/>
      <w:r w:rsidR="003D5B0B">
        <w:rPr>
          <w:rFonts w:ascii="Calibri" w:hAnsi="Calibri" w:cs="Calibri"/>
        </w:rPr>
        <w:t>auto-edução</w:t>
      </w:r>
      <w:proofErr w:type="spellEnd"/>
      <w:r w:rsidR="003D5B0B">
        <w:rPr>
          <w:rFonts w:ascii="Calibri" w:hAnsi="Calibri" w:cs="Calibri"/>
        </w:rPr>
        <w:t xml:space="preserve"> de </w:t>
      </w:r>
      <w:proofErr w:type="spellStart"/>
      <w:r w:rsidR="003D5B0B">
        <w:rPr>
          <w:rFonts w:ascii="Calibri" w:hAnsi="Calibri" w:cs="Calibri"/>
        </w:rPr>
        <w:t>LGE</w:t>
      </w:r>
      <w:proofErr w:type="spellEnd"/>
      <w:r w:rsidR="003D5B0B">
        <w:rPr>
          <w:rFonts w:ascii="Calibri" w:hAnsi="Calibri" w:cs="Calibri"/>
        </w:rPr>
        <w:t>.</w:t>
      </w:r>
    </w:p>
    <w:p w:rsidR="00487AB0" w:rsidRDefault="00487AB0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modelo </w:t>
      </w:r>
      <w:r w:rsidR="004B314D">
        <w:rPr>
          <w:rFonts w:ascii="Calibri" w:hAnsi="Calibri" w:cs="Calibri"/>
        </w:rPr>
        <w:t xml:space="preserve">ULTRA </w:t>
      </w:r>
      <w:r w:rsidR="00367650">
        <w:rPr>
          <w:rFonts w:ascii="Calibri" w:hAnsi="Calibri" w:cs="Calibri"/>
        </w:rPr>
        <w:t>SE</w:t>
      </w:r>
      <w:r w:rsidR="004B314D">
        <w:rPr>
          <w:rFonts w:ascii="Calibri" w:hAnsi="Calibri" w:cs="Calibri"/>
        </w:rPr>
        <w:t xml:space="preserve"> 800-1250</w:t>
      </w:r>
      <w:r>
        <w:rPr>
          <w:rFonts w:ascii="Calibri" w:hAnsi="Calibri" w:cs="Calibri"/>
        </w:rPr>
        <w:t xml:space="preserve"> é disponível em três diferentes materiais de fabricação: </w:t>
      </w:r>
      <w:proofErr w:type="gramStart"/>
      <w:r>
        <w:rPr>
          <w:rFonts w:ascii="Calibri" w:hAnsi="Calibri" w:cs="Calibri"/>
        </w:rPr>
        <w:t>liga</w:t>
      </w:r>
      <w:proofErr w:type="gramEnd"/>
      <w:r>
        <w:rPr>
          <w:rFonts w:ascii="Calibri" w:hAnsi="Calibri" w:cs="Calibri"/>
        </w:rPr>
        <w:t xml:space="preserve"> leve de alumínio, bronze e aço inoxidável, com internos em aço inoxidável.</w:t>
      </w:r>
    </w:p>
    <w:p w:rsidR="003D5B0B" w:rsidRDefault="003D5B0B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 esguicho é do tipo auto-edutor,</w:t>
      </w:r>
      <w:r w:rsidR="002F2A43">
        <w:rPr>
          <w:rFonts w:ascii="Calibri" w:hAnsi="Calibri" w:cs="Calibri"/>
        </w:rPr>
        <w:t xml:space="preserve"> ou seja, possui a capacidade de </w:t>
      </w:r>
      <w:proofErr w:type="spellStart"/>
      <w:r w:rsidR="002F2A43">
        <w:rPr>
          <w:rFonts w:ascii="Calibri" w:hAnsi="Calibri" w:cs="Calibri"/>
        </w:rPr>
        <w:t>succionar</w:t>
      </w:r>
      <w:proofErr w:type="spellEnd"/>
      <w:r w:rsidR="002F2A43">
        <w:rPr>
          <w:rFonts w:ascii="Calibri" w:hAnsi="Calibri" w:cs="Calibri"/>
        </w:rPr>
        <w:t xml:space="preserve"> </w:t>
      </w:r>
      <w:proofErr w:type="spellStart"/>
      <w:r w:rsidR="002F2A43">
        <w:rPr>
          <w:rFonts w:ascii="Calibri" w:hAnsi="Calibri" w:cs="Calibri"/>
        </w:rPr>
        <w:t>LGE</w:t>
      </w:r>
      <w:proofErr w:type="spellEnd"/>
      <w:r w:rsidR="002F2A43">
        <w:rPr>
          <w:rFonts w:ascii="Calibri" w:hAnsi="Calibri" w:cs="Calibri"/>
        </w:rPr>
        <w:t>, para isso, é</w:t>
      </w:r>
      <w:r>
        <w:rPr>
          <w:rFonts w:ascii="Calibri" w:hAnsi="Calibri" w:cs="Calibri"/>
        </w:rPr>
        <w:t xml:space="preserve"> equipado com um tubo de coleta de 3 metros com conexão roscada ao esguicho, ou opcionalmente com conexão tipo engate rápido.</w:t>
      </w:r>
    </w:p>
    <w:p w:rsidR="003D5B0B" w:rsidRDefault="002F2A43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modelo Ultra </w:t>
      </w:r>
      <w:r w:rsidR="00367650">
        <w:rPr>
          <w:rFonts w:ascii="Calibri" w:hAnsi="Calibri" w:cs="Calibri"/>
        </w:rPr>
        <w:t xml:space="preserve">SE </w:t>
      </w:r>
      <w:r>
        <w:rPr>
          <w:rFonts w:ascii="Calibri" w:hAnsi="Calibri" w:cs="Calibri"/>
        </w:rPr>
        <w:t>800-1250 também pode ser utilizado como esguicho de água ou para operação com solução de espuma.</w:t>
      </w:r>
    </w:p>
    <w:p w:rsidR="00487AB0" w:rsidRDefault="00487AB0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desempenho do esguicho em termos de alcance foi obtido mediante </w:t>
      </w:r>
      <w:r w:rsidR="00E22787">
        <w:rPr>
          <w:rFonts w:ascii="Calibri" w:hAnsi="Calibri" w:cs="Calibri"/>
        </w:rPr>
        <w:t xml:space="preserve">a realização de </w:t>
      </w:r>
      <w:r>
        <w:rPr>
          <w:rFonts w:ascii="Calibri" w:hAnsi="Calibri" w:cs="Calibri"/>
        </w:rPr>
        <w:t xml:space="preserve">testes </w:t>
      </w:r>
      <w:r w:rsidR="00E22787">
        <w:rPr>
          <w:rFonts w:ascii="Calibri" w:hAnsi="Calibri" w:cs="Calibri"/>
        </w:rPr>
        <w:t>práticos, o alcance máximo do jato é de cerca de 5% superior ao demonstrado na tabela / gráfico. O alcance efetivo do esguicho deve ser reduzido em cerca de 10% quando da operação com espuma. O alcance do esguicho pode sofrer alterações devido à presença de vento.</w:t>
      </w:r>
    </w:p>
    <w:p w:rsidR="002E3837" w:rsidRDefault="002E3837" w:rsidP="008E2FEF">
      <w:pPr>
        <w:jc w:val="both"/>
        <w:rPr>
          <w:rFonts w:ascii="Calibri" w:hAnsi="Calibri" w:cs="Calibri"/>
          <w:b/>
        </w:rPr>
      </w:pPr>
      <w:r w:rsidRPr="002E3837">
        <w:rPr>
          <w:rFonts w:ascii="Calibri" w:hAnsi="Calibri" w:cs="Calibri"/>
          <w:b/>
        </w:rPr>
        <w:t xml:space="preserve">O esguicho modelo </w:t>
      </w:r>
      <w:r w:rsidR="004B314D">
        <w:rPr>
          <w:rFonts w:ascii="Calibri" w:hAnsi="Calibri" w:cs="Calibri"/>
          <w:b/>
        </w:rPr>
        <w:t xml:space="preserve">ULTRA </w:t>
      </w:r>
      <w:r w:rsidR="00367650">
        <w:rPr>
          <w:rFonts w:ascii="Calibri" w:hAnsi="Calibri" w:cs="Calibri"/>
          <w:b/>
        </w:rPr>
        <w:t>SE</w:t>
      </w:r>
      <w:r w:rsidR="004B314D">
        <w:rPr>
          <w:rFonts w:ascii="Calibri" w:hAnsi="Calibri" w:cs="Calibri"/>
          <w:b/>
        </w:rPr>
        <w:t xml:space="preserve"> 800-1250</w:t>
      </w:r>
      <w:r w:rsidRPr="002E3837">
        <w:rPr>
          <w:rFonts w:ascii="Calibri" w:hAnsi="Calibri" w:cs="Calibri"/>
          <w:b/>
        </w:rPr>
        <w:t xml:space="preserve"> deve ser utilizado exclusivamente com canhões da série Ultra, verificar catálogos específicos desses equipamentos</w:t>
      </w:r>
      <w:r>
        <w:rPr>
          <w:rFonts w:ascii="Calibri" w:hAnsi="Calibri" w:cs="Calibri"/>
          <w:b/>
        </w:rPr>
        <w:t>.</w:t>
      </w:r>
    </w:p>
    <w:p w:rsidR="002E3837" w:rsidRPr="002E3837" w:rsidRDefault="002E3837" w:rsidP="008E2FEF">
      <w:pPr>
        <w:jc w:val="both"/>
        <w:rPr>
          <w:rFonts w:ascii="Calibri" w:hAnsi="Calibri" w:cs="Calibri"/>
          <w:b/>
        </w:rPr>
      </w:pPr>
    </w:p>
    <w:p w:rsidR="00E22787" w:rsidRPr="00A40C09" w:rsidRDefault="00E22787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A40C09">
        <w:rPr>
          <w:rFonts w:ascii="Calibri" w:hAnsi="Calibri" w:cs="Calibri"/>
          <w:b/>
          <w:i/>
          <w:color w:val="FF0000"/>
          <w:u w:val="single"/>
        </w:rPr>
        <w:t>Informações Técnicas:</w:t>
      </w:r>
    </w:p>
    <w:p w:rsidR="00E22787" w:rsidRDefault="00E22787" w:rsidP="008E2FEF">
      <w:pPr>
        <w:jc w:val="both"/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6410"/>
      </w:tblGrid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Modelo</w:t>
            </w:r>
          </w:p>
        </w:tc>
        <w:tc>
          <w:tcPr>
            <w:tcW w:w="6410" w:type="dxa"/>
          </w:tcPr>
          <w:p w:rsidR="00E22787" w:rsidRPr="00E22787" w:rsidRDefault="004B314D" w:rsidP="00367650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ULTRA </w:t>
            </w:r>
            <w:r w:rsidR="00367650">
              <w:rPr>
                <w:rFonts w:ascii="Calibri" w:hAnsi="Calibri" w:cs="Calibri"/>
              </w:rPr>
              <w:t>SE</w:t>
            </w:r>
            <w:r>
              <w:rPr>
                <w:rFonts w:ascii="Calibri" w:hAnsi="Calibri" w:cs="Calibri"/>
              </w:rPr>
              <w:t xml:space="preserve"> 800-1250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Vazões disponíveis</w:t>
            </w:r>
          </w:p>
        </w:tc>
        <w:tc>
          <w:tcPr>
            <w:tcW w:w="6410" w:type="dxa"/>
          </w:tcPr>
          <w:p w:rsidR="00E22787" w:rsidRPr="00E22787" w:rsidRDefault="00E22787" w:rsidP="002F2A43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 xml:space="preserve">De 800 a </w:t>
            </w:r>
            <w:r w:rsidR="002F2A43">
              <w:rPr>
                <w:rFonts w:ascii="Calibri" w:hAnsi="Calibri" w:cs="Calibri"/>
              </w:rPr>
              <w:t>1</w:t>
            </w:r>
            <w:r w:rsidRPr="00E22787">
              <w:rPr>
                <w:rFonts w:ascii="Calibri" w:hAnsi="Calibri" w:cs="Calibri"/>
              </w:rPr>
              <w:t>2</w:t>
            </w:r>
            <w:r w:rsidR="002F2A43">
              <w:rPr>
                <w:rFonts w:ascii="Calibri" w:hAnsi="Calibri" w:cs="Calibri"/>
              </w:rPr>
              <w:t xml:space="preserve">50 </w:t>
            </w:r>
            <w:r w:rsidRPr="00E22787">
              <w:rPr>
                <w:rFonts w:ascii="Calibri" w:hAnsi="Calibri" w:cs="Calibri"/>
              </w:rPr>
              <w:t xml:space="preserve">gpm (3030 a </w:t>
            </w:r>
            <w:r w:rsidR="002F2A43">
              <w:rPr>
                <w:rFonts w:ascii="Calibri" w:hAnsi="Calibri" w:cs="Calibri"/>
              </w:rPr>
              <w:t>4730</w:t>
            </w:r>
            <w:r w:rsidRPr="00E22787">
              <w:rPr>
                <w:rFonts w:ascii="Calibri" w:hAnsi="Calibri" w:cs="Calibri"/>
              </w:rPr>
              <w:t xml:space="preserve"> lpm), ver tabela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Conexão de entrada:</w:t>
            </w:r>
          </w:p>
        </w:tc>
        <w:tc>
          <w:tcPr>
            <w:tcW w:w="6410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 xml:space="preserve">Rosca fêmea </w:t>
            </w:r>
            <w:proofErr w:type="gramStart"/>
            <w:r w:rsidRPr="00E22787">
              <w:rPr>
                <w:rFonts w:ascii="Calibri" w:hAnsi="Calibri" w:cs="Calibri"/>
              </w:rPr>
              <w:t>4</w:t>
            </w:r>
            <w:proofErr w:type="gramEnd"/>
            <w:r w:rsidRPr="00E22787">
              <w:rPr>
                <w:rFonts w:ascii="Calibri" w:hAnsi="Calibri" w:cs="Calibri"/>
              </w:rPr>
              <w:t xml:space="preserve">” </w:t>
            </w:r>
            <w:proofErr w:type="spellStart"/>
            <w:r w:rsidRPr="00E22787">
              <w:rPr>
                <w:rFonts w:ascii="Calibri" w:hAnsi="Calibri" w:cs="Calibri"/>
              </w:rPr>
              <w:t>BSP</w:t>
            </w:r>
            <w:proofErr w:type="spellEnd"/>
          </w:p>
        </w:tc>
      </w:tr>
      <w:tr w:rsidR="002F2A43" w:rsidRPr="00E22787" w:rsidTr="00E22787">
        <w:tc>
          <w:tcPr>
            <w:tcW w:w="2802" w:type="dxa"/>
          </w:tcPr>
          <w:p w:rsidR="002F2A43" w:rsidRPr="00E22787" w:rsidRDefault="002F2A43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Conexão de </w:t>
            </w:r>
            <w:proofErr w:type="spellStart"/>
            <w:r>
              <w:rPr>
                <w:rFonts w:ascii="Calibri" w:hAnsi="Calibri" w:cs="Calibri"/>
              </w:rPr>
              <w:t>LGE</w:t>
            </w:r>
            <w:proofErr w:type="spellEnd"/>
            <w:r>
              <w:rPr>
                <w:rFonts w:ascii="Calibri" w:hAnsi="Calibri" w:cs="Calibri"/>
              </w:rPr>
              <w:t>:</w:t>
            </w:r>
          </w:p>
        </w:tc>
        <w:tc>
          <w:tcPr>
            <w:tcW w:w="6410" w:type="dxa"/>
          </w:tcPr>
          <w:p w:rsidR="002F2A43" w:rsidRPr="00E22787" w:rsidRDefault="002F2A43" w:rsidP="002F2A43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Rosca fêmea de 1.1</w:t>
            </w:r>
            <w:proofErr w:type="gramStart"/>
            <w:r>
              <w:rPr>
                <w:rFonts w:ascii="Calibri" w:hAnsi="Calibri" w:cs="Calibri"/>
              </w:rPr>
              <w:t>/4”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BSP</w:t>
            </w:r>
            <w:proofErr w:type="spellEnd"/>
            <w:r>
              <w:rPr>
                <w:rFonts w:ascii="Calibri" w:hAnsi="Calibri" w:cs="Calibri"/>
              </w:rPr>
              <w:t xml:space="preserve"> ou engate rápido (opcional) 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Materia</w:t>
            </w:r>
            <w:r w:rsidR="00367650">
              <w:rPr>
                <w:rFonts w:ascii="Calibri" w:hAnsi="Calibri" w:cs="Calibri"/>
              </w:rPr>
              <w:t>i</w:t>
            </w:r>
            <w:r w:rsidRPr="00E22787">
              <w:rPr>
                <w:rFonts w:ascii="Calibri" w:hAnsi="Calibri" w:cs="Calibri"/>
              </w:rPr>
              <w:t>s de construção:</w:t>
            </w:r>
          </w:p>
        </w:tc>
        <w:tc>
          <w:tcPr>
            <w:tcW w:w="6410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Liga leve de alumínio (com internos em aço inoxidável)</w:t>
            </w:r>
          </w:p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Bronze (com internos em aço inoxidável)</w:t>
            </w:r>
          </w:p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Aço Inoxidável (com internos em aço inoxidável)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Pressão máxima de trabalho</w:t>
            </w:r>
          </w:p>
        </w:tc>
        <w:tc>
          <w:tcPr>
            <w:tcW w:w="6410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12 kgf/cm² (175 psi)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Peso:</w:t>
            </w:r>
          </w:p>
        </w:tc>
        <w:tc>
          <w:tcPr>
            <w:tcW w:w="6410" w:type="dxa"/>
          </w:tcPr>
          <w:p w:rsidR="00E22787" w:rsidRPr="00E22787" w:rsidRDefault="000C7C1F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Liga leve de alumínio: 9,6</w:t>
            </w:r>
            <w:r w:rsidR="00E22787" w:rsidRPr="00E22787">
              <w:rPr>
                <w:rFonts w:ascii="Calibri" w:hAnsi="Calibri" w:cs="Calibri"/>
              </w:rPr>
              <w:t xml:space="preserve"> kg</w:t>
            </w:r>
          </w:p>
          <w:p w:rsid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 xml:space="preserve">Bronze: </w:t>
            </w:r>
            <w:r w:rsidR="000C7C1F">
              <w:rPr>
                <w:rFonts w:ascii="Calibri" w:hAnsi="Calibri" w:cs="Calibri"/>
              </w:rPr>
              <w:t>21</w:t>
            </w:r>
            <w:r w:rsidR="00A40C09">
              <w:rPr>
                <w:rFonts w:ascii="Calibri" w:hAnsi="Calibri" w:cs="Calibri"/>
              </w:rPr>
              <w:t xml:space="preserve"> kg</w:t>
            </w:r>
          </w:p>
          <w:p w:rsidR="00A40C09" w:rsidRPr="00E22787" w:rsidRDefault="000C7C1F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Aço Inoxidável: </w:t>
            </w:r>
            <w:r w:rsidR="00A40C09">
              <w:rPr>
                <w:rFonts w:ascii="Calibri" w:hAnsi="Calibri" w:cs="Calibri"/>
              </w:rPr>
              <w:t>2</w:t>
            </w:r>
            <w:r>
              <w:rPr>
                <w:rFonts w:ascii="Calibri" w:hAnsi="Calibri" w:cs="Calibri"/>
              </w:rPr>
              <w:t>0,5</w:t>
            </w:r>
            <w:r w:rsidR="00A40C09">
              <w:rPr>
                <w:rFonts w:ascii="Calibri" w:hAnsi="Calibri" w:cs="Calibri"/>
              </w:rPr>
              <w:t xml:space="preserve"> kg</w:t>
            </w:r>
          </w:p>
        </w:tc>
      </w:tr>
    </w:tbl>
    <w:p w:rsidR="002E3837" w:rsidRDefault="002E3837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2F2A43" w:rsidRDefault="002F2A43" w:rsidP="002E3837">
      <w:pPr>
        <w:spacing w:before="120" w:after="12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2E3837" w:rsidRPr="008E2FEF" w:rsidRDefault="002E3837" w:rsidP="002E3837">
      <w:pPr>
        <w:spacing w:before="120" w:after="120"/>
        <w:jc w:val="both"/>
        <w:rPr>
          <w:rFonts w:ascii="Calibri" w:hAnsi="Calibri" w:cs="Calibri"/>
          <w:b/>
          <w:i/>
          <w:color w:val="FF0000"/>
          <w:u w:val="single"/>
        </w:rPr>
      </w:pPr>
      <w:r w:rsidRPr="008E2FEF">
        <w:rPr>
          <w:rFonts w:ascii="Calibri" w:hAnsi="Calibri" w:cs="Calibri"/>
          <w:b/>
          <w:i/>
          <w:color w:val="FF0000"/>
          <w:u w:val="single"/>
        </w:rPr>
        <w:t>Principais aplicações: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Refinarias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Plataformas de carregamento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Usinas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Tanques de armazenagem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Diques de contenção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Helipontos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Áreas de estocagem de líquidos combustíveis e inflamáveis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Plantas químicas e petroquímicas.</w:t>
      </w:r>
    </w:p>
    <w:p w:rsidR="002E3837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Viaturas de combate a incêndio</w:t>
      </w:r>
    </w:p>
    <w:p w:rsidR="002E3837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Trailers</w:t>
      </w:r>
    </w:p>
    <w:p w:rsidR="002E3837" w:rsidRPr="00F0451D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Instalações </w:t>
      </w:r>
      <w:proofErr w:type="spellStart"/>
      <w:proofErr w:type="gramStart"/>
      <w:r>
        <w:rPr>
          <w:rFonts w:ascii="Calibri" w:hAnsi="Calibri" w:cs="Calibri"/>
        </w:rPr>
        <w:t>off</w:t>
      </w:r>
      <w:proofErr w:type="gramEnd"/>
      <w:r>
        <w:rPr>
          <w:rFonts w:ascii="Calibri" w:hAnsi="Calibri" w:cs="Calibri"/>
        </w:rPr>
        <w:t>-shore</w:t>
      </w:r>
      <w:proofErr w:type="spellEnd"/>
    </w:p>
    <w:p w:rsidR="002E3837" w:rsidRDefault="002E3837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A40C09" w:rsidRDefault="00A40C09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>
        <w:rPr>
          <w:rFonts w:ascii="Calibri" w:hAnsi="Calibri" w:cs="Calibri"/>
          <w:b/>
          <w:i/>
          <w:color w:val="FF0000"/>
          <w:u w:val="single"/>
        </w:rPr>
        <w:t>Manutenção:</w:t>
      </w:r>
    </w:p>
    <w:p w:rsidR="00CE4B11" w:rsidRDefault="00CE4B11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567D68" w:rsidRDefault="00A40C09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 esguicho deve ser inspecionando regularmente para constatação de ausência de danos ou entupimento. Caso seja</w:t>
      </w:r>
      <w:r w:rsidR="00567D68">
        <w:rPr>
          <w:rFonts w:ascii="Calibri" w:hAnsi="Calibri" w:cs="Calibri"/>
        </w:rPr>
        <w:t xml:space="preserve"> detectada alguma anomalia tais como: falha na descarga, uso excessivo, baixo alcance, efeitos de corrosão, vazamento entre canhão e esguicho, entre outros, o equipamento deverá ser retirado de serviço e reparado por pessoal qualificado.</w:t>
      </w:r>
    </w:p>
    <w:p w:rsidR="00CE4B11" w:rsidRDefault="00567D68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Sólidos em suspensão podem danificar o esguicho, reduzindo também consideravelmente a vazão e o alcance. Para remover objetos alojados no seu interior, o fornecimento de água deverá ser interrompido, o esguicho deve ser desmontado do canhão e seu defletor deverá ser retirado. Uma limpeza geral deve ser realizada, com posterior montagem do defletor. </w:t>
      </w:r>
      <w:proofErr w:type="gramStart"/>
      <w:r>
        <w:rPr>
          <w:rFonts w:ascii="Calibri" w:hAnsi="Calibri" w:cs="Calibri"/>
        </w:rPr>
        <w:t>Deverão</w:t>
      </w:r>
      <w:proofErr w:type="gramEnd"/>
      <w:r>
        <w:rPr>
          <w:rFonts w:ascii="Calibri" w:hAnsi="Calibri" w:cs="Calibri"/>
        </w:rPr>
        <w:t xml:space="preserve"> ser lubrificados com graxa a prova d’água o anel e demais partes móveis, para que o esguicho possa ser facilmente operado.</w:t>
      </w:r>
    </w:p>
    <w:p w:rsidR="00CE4B11" w:rsidRDefault="00CE4B11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Sob condições normais o esguicho deve ser operado regularmente e obstruções detectadas devem ser retiradas.</w:t>
      </w:r>
    </w:p>
    <w:p w:rsidR="00CE4B11" w:rsidRDefault="00CE4B11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 esguicho deve ser inspecionado antes e depois das operações, deve ser lubrificado periodicamente e pode ser também necessário a substituição do anel de vedação após um longo período de utilização.</w:t>
      </w:r>
    </w:p>
    <w:p w:rsidR="00CE4B11" w:rsidRDefault="00CE4B11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Após utilização com esp</w:t>
      </w:r>
      <w:r w:rsidR="00367650">
        <w:rPr>
          <w:rFonts w:ascii="Calibri" w:hAnsi="Calibri" w:cs="Calibri"/>
        </w:rPr>
        <w:t>u</w:t>
      </w:r>
      <w:r>
        <w:rPr>
          <w:rFonts w:ascii="Calibri" w:hAnsi="Calibri" w:cs="Calibri"/>
        </w:rPr>
        <w:t>ma o esguicho deve ser limpo com água doce.</w:t>
      </w:r>
    </w:p>
    <w:p w:rsidR="00CE4B11" w:rsidRDefault="00CE4B11" w:rsidP="008E2FEF">
      <w:pPr>
        <w:jc w:val="both"/>
        <w:rPr>
          <w:rFonts w:ascii="Calibri" w:hAnsi="Calibri" w:cs="Calibri"/>
        </w:rPr>
      </w:pPr>
    </w:p>
    <w:p w:rsidR="00E22787" w:rsidRDefault="00A40C09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A40C09">
        <w:rPr>
          <w:rFonts w:ascii="Calibri" w:hAnsi="Calibri" w:cs="Calibri"/>
          <w:b/>
          <w:i/>
          <w:color w:val="FF0000"/>
          <w:u w:val="single"/>
        </w:rPr>
        <w:t>Cuidados:</w:t>
      </w:r>
    </w:p>
    <w:p w:rsidR="00A40C09" w:rsidRDefault="00A40C09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A40C09" w:rsidRDefault="00A40C09" w:rsidP="00A40C09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modelo </w:t>
      </w:r>
      <w:r w:rsidR="00367650">
        <w:rPr>
          <w:rFonts w:ascii="Calibri" w:hAnsi="Calibri" w:cs="Calibri"/>
        </w:rPr>
        <w:t>ULTRA SE</w:t>
      </w:r>
      <w:r w:rsidR="004B314D">
        <w:rPr>
          <w:rFonts w:ascii="Calibri" w:hAnsi="Calibri" w:cs="Calibri"/>
        </w:rPr>
        <w:t xml:space="preserve"> 800-1250</w:t>
      </w:r>
      <w:r>
        <w:rPr>
          <w:rFonts w:ascii="Calibri" w:hAnsi="Calibri" w:cs="Calibri"/>
        </w:rPr>
        <w:t xml:space="preserve"> e seu canhão monitor devem ser instalados e operados cuidadosamente por pessoal qualificado, possuindo bom conhecimento do equipamento. Antes da montagem do conjunto canhão e esguicho</w:t>
      </w:r>
      <w:r w:rsidR="00CE4B1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no sistema, a tubulação deverá sofrer limpeza com água para retirar sólidos em suspensão que podem avariar/entupir o equipamento, tais como: carepas de solda, pedras e resíduos em geral.</w:t>
      </w:r>
    </w:p>
    <w:p w:rsidR="00A40C09" w:rsidRDefault="00A40C09" w:rsidP="00A40C09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deve ser montado cuidadosamente e com total acoplamento ao canhão. </w:t>
      </w:r>
      <w:proofErr w:type="gramStart"/>
      <w:r w:rsidR="00CE4B11">
        <w:rPr>
          <w:rFonts w:ascii="Calibri" w:hAnsi="Calibri" w:cs="Calibri"/>
        </w:rPr>
        <w:t>A c</w:t>
      </w:r>
      <w:r>
        <w:rPr>
          <w:rFonts w:ascii="Calibri" w:hAnsi="Calibri" w:cs="Calibri"/>
        </w:rPr>
        <w:t>onexão inadequada ao canhão ou danos na rosca do canhão ou do esguicho podem resultar</w:t>
      </w:r>
      <w:proofErr w:type="gramEnd"/>
      <w:r>
        <w:rPr>
          <w:rFonts w:ascii="Calibri" w:hAnsi="Calibri" w:cs="Calibri"/>
        </w:rPr>
        <w:t xml:space="preserve"> em vazamentos ou </w:t>
      </w:r>
      <w:r w:rsidR="00CE4B11">
        <w:rPr>
          <w:rFonts w:ascii="Calibri" w:hAnsi="Calibri" w:cs="Calibri"/>
        </w:rPr>
        <w:t xml:space="preserve">até mesmo no </w:t>
      </w:r>
      <w:r>
        <w:rPr>
          <w:rFonts w:ascii="Calibri" w:hAnsi="Calibri" w:cs="Calibri"/>
        </w:rPr>
        <w:t>des</w:t>
      </w:r>
      <w:r w:rsidR="00CE4B11">
        <w:rPr>
          <w:rFonts w:ascii="Calibri" w:hAnsi="Calibri" w:cs="Calibri"/>
        </w:rPr>
        <w:t>acoplamento</w:t>
      </w:r>
      <w:r>
        <w:rPr>
          <w:rFonts w:ascii="Calibri" w:hAnsi="Calibri" w:cs="Calibri"/>
        </w:rPr>
        <w:t xml:space="preserve"> durante a operação</w:t>
      </w:r>
      <w:r w:rsidR="00CE4B11">
        <w:rPr>
          <w:rFonts w:ascii="Calibri" w:hAnsi="Calibri" w:cs="Calibri"/>
        </w:rPr>
        <w:t>.</w:t>
      </w:r>
    </w:p>
    <w:p w:rsidR="00CE4B11" w:rsidRDefault="002E3837" w:rsidP="00CE4B11">
      <w:pPr>
        <w:pStyle w:val="PargrafodaLista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Quando da operação do esguicho</w:t>
      </w:r>
      <w:r w:rsidR="00CE4B11">
        <w:rPr>
          <w:rFonts w:ascii="Calibri" w:hAnsi="Calibri" w:cs="Calibri"/>
        </w:rPr>
        <w:t>, assegurar de que pessoas não est</w:t>
      </w:r>
      <w:r>
        <w:rPr>
          <w:rFonts w:ascii="Calibri" w:hAnsi="Calibri" w:cs="Calibri"/>
        </w:rPr>
        <w:t>ejam</w:t>
      </w:r>
      <w:r w:rsidR="00CE4B11">
        <w:rPr>
          <w:rFonts w:ascii="Calibri" w:hAnsi="Calibri" w:cs="Calibri"/>
        </w:rPr>
        <w:t xml:space="preserve"> posicionadas na direção do jato.</w:t>
      </w:r>
    </w:p>
    <w:p w:rsidR="00CE4B11" w:rsidRDefault="00CE4B11" w:rsidP="002E3837">
      <w:pPr>
        <w:pStyle w:val="PargrafodaLista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Não aplicar água ou espuma em equipamentos elétricos energizados</w:t>
      </w:r>
    </w:p>
    <w:p w:rsidR="00CE4B11" w:rsidRDefault="00CE4B11" w:rsidP="002E3837">
      <w:pPr>
        <w:pStyle w:val="PargrafodaLista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A alimentação / interrupção de água para o </w:t>
      </w:r>
      <w:r w:rsidR="002E3837">
        <w:rPr>
          <w:rFonts w:ascii="Calibri" w:hAnsi="Calibri" w:cs="Calibri"/>
        </w:rPr>
        <w:t>esguicho</w:t>
      </w:r>
      <w:r>
        <w:rPr>
          <w:rFonts w:ascii="Calibri" w:hAnsi="Calibri" w:cs="Calibri"/>
        </w:rPr>
        <w:t xml:space="preserve"> devem ser realizadas de forma gradual, para evitar possíveis ocorrências de golpes de aríete no sistema.  </w:t>
      </w:r>
    </w:p>
    <w:p w:rsidR="00E65D5A" w:rsidRDefault="00E65D5A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2E3837" w:rsidRDefault="002E3837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E65D5A" w:rsidRPr="00D617E3" w:rsidRDefault="00E65D5A" w:rsidP="00E65D5A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  <w:r w:rsidRPr="00D617E3">
        <w:rPr>
          <w:rFonts w:ascii="Calibri" w:hAnsi="Calibri" w:cs="Calibri"/>
          <w:b/>
          <w:i/>
          <w:color w:val="FF0000"/>
          <w:u w:val="single"/>
        </w:rPr>
        <w:t>Dimensões:</w:t>
      </w: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367650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  <w:r>
        <w:rPr>
          <w:noProof/>
        </w:rPr>
        <w:drawing>
          <wp:inline distT="0" distB="0" distL="0" distR="0">
            <wp:extent cx="2813685" cy="2693035"/>
            <wp:effectExtent l="19050" t="0" r="571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685" cy="269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7E3" w:rsidRDefault="00D617E3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D617E3" w:rsidRPr="00613C21" w:rsidRDefault="00D617E3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CE4B11" w:rsidRDefault="00CE4B11" w:rsidP="00A40C09">
      <w:pPr>
        <w:jc w:val="both"/>
        <w:rPr>
          <w:rFonts w:ascii="Calibri" w:hAnsi="Calibri" w:cs="Calibri"/>
        </w:rPr>
      </w:pPr>
    </w:p>
    <w:p w:rsidR="00D617E3" w:rsidRDefault="00367650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5757545" cy="2270760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27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Dados obtidos em testes práticos com ângulo de 32º. Quando da utilização com </w:t>
      </w:r>
      <w:r w:rsidR="00EB6BCC">
        <w:rPr>
          <w:rFonts w:ascii="Calibri" w:hAnsi="Calibri" w:cs="Calibri"/>
          <w:b/>
        </w:rPr>
        <w:t>água</w:t>
      </w:r>
      <w:r>
        <w:rPr>
          <w:rFonts w:ascii="Calibri" w:hAnsi="Calibri" w:cs="Calibri"/>
          <w:b/>
        </w:rPr>
        <w:t xml:space="preserve"> o alcance deverá ser </w:t>
      </w:r>
      <w:r w:rsidR="00EB6BCC">
        <w:rPr>
          <w:rFonts w:ascii="Calibri" w:hAnsi="Calibri" w:cs="Calibri"/>
          <w:b/>
        </w:rPr>
        <w:t>aumentado</w:t>
      </w:r>
      <w:r>
        <w:rPr>
          <w:rFonts w:ascii="Calibri" w:hAnsi="Calibri" w:cs="Calibri"/>
          <w:b/>
        </w:rPr>
        <w:t xml:space="preserve"> em cerca de 10%.</w:t>
      </w: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E65D5A" w:rsidRDefault="00E65D5A" w:rsidP="008E2FEF">
      <w:pPr>
        <w:jc w:val="both"/>
        <w:rPr>
          <w:rFonts w:ascii="Calibri" w:hAnsi="Calibri" w:cs="Calibri"/>
          <w:b/>
        </w:rPr>
      </w:pPr>
    </w:p>
    <w:p w:rsidR="00D617E3" w:rsidRPr="00EB6BCC" w:rsidRDefault="00D617E3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EB6BCC">
        <w:rPr>
          <w:rFonts w:ascii="Calibri" w:hAnsi="Calibri" w:cs="Calibri"/>
          <w:b/>
          <w:i/>
          <w:color w:val="FF0000"/>
          <w:u w:val="single"/>
        </w:rPr>
        <w:t>Gráfico de alcance</w:t>
      </w: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166100" w:rsidRDefault="00D617E3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 gráfico abaixo</w:t>
      </w:r>
      <w:proofErr w:type="gramStart"/>
      <w:r>
        <w:rPr>
          <w:rFonts w:ascii="Calibri" w:hAnsi="Calibri" w:cs="Calibri"/>
          <w:b/>
        </w:rPr>
        <w:t>, demonstra</w:t>
      </w:r>
      <w:proofErr w:type="gramEnd"/>
      <w:r>
        <w:rPr>
          <w:rFonts w:ascii="Calibri" w:hAnsi="Calibri" w:cs="Calibri"/>
          <w:b/>
        </w:rPr>
        <w:t xml:space="preserve"> em percentual</w:t>
      </w:r>
      <w:r w:rsidR="00166100">
        <w:rPr>
          <w:rFonts w:ascii="Calibri" w:hAnsi="Calibri" w:cs="Calibri"/>
          <w:b/>
        </w:rPr>
        <w:t xml:space="preserve"> o alcance e a altura do jato para todos os esguichos, exemplo:</w:t>
      </w:r>
    </w:p>
    <w:p w:rsidR="00166100" w:rsidRDefault="00166100" w:rsidP="008E2FEF">
      <w:pPr>
        <w:jc w:val="both"/>
        <w:rPr>
          <w:rFonts w:ascii="Calibri" w:hAnsi="Calibri" w:cs="Calibri"/>
          <w:b/>
        </w:rPr>
      </w:pPr>
    </w:p>
    <w:p w:rsidR="003F711D" w:rsidRDefault="00166100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Esguicho com vazão de 80</w:t>
      </w:r>
      <w:r w:rsidR="00EB6BCC">
        <w:rPr>
          <w:rFonts w:ascii="Calibri" w:hAnsi="Calibri" w:cs="Calibri"/>
          <w:b/>
        </w:rPr>
        <w:t>0 gpm, possui alcance total de 5</w:t>
      </w:r>
      <w:r>
        <w:rPr>
          <w:rFonts w:ascii="Calibri" w:hAnsi="Calibri" w:cs="Calibri"/>
          <w:b/>
        </w:rPr>
        <w:t xml:space="preserve">8 metros com pressão de entrada de 7,0 kgf/cm², em posição de 60º de elevação ele </w:t>
      </w:r>
      <w:r w:rsidR="003F711D">
        <w:rPr>
          <w:rFonts w:ascii="Calibri" w:hAnsi="Calibri" w:cs="Calibri"/>
          <w:b/>
        </w:rPr>
        <w:t xml:space="preserve">obterá uma altura de </w:t>
      </w:r>
      <w:proofErr w:type="gramStart"/>
      <w:r w:rsidR="003F711D">
        <w:rPr>
          <w:rFonts w:ascii="Calibri" w:hAnsi="Calibri" w:cs="Calibri"/>
          <w:b/>
        </w:rPr>
        <w:t>c</w:t>
      </w:r>
      <w:r w:rsidR="00EB6BCC">
        <w:rPr>
          <w:rFonts w:ascii="Calibri" w:hAnsi="Calibri" w:cs="Calibri"/>
          <w:b/>
        </w:rPr>
        <w:t>erca de 45</w:t>
      </w:r>
      <w:proofErr w:type="gramEnd"/>
      <w:r w:rsidR="00EB6BCC">
        <w:rPr>
          <w:rFonts w:ascii="Calibri" w:hAnsi="Calibri" w:cs="Calibri"/>
          <w:b/>
        </w:rPr>
        <w:t>% do alcance (45% de 5</w:t>
      </w:r>
      <w:r w:rsidR="003F711D">
        <w:rPr>
          <w:rFonts w:ascii="Calibri" w:hAnsi="Calibri" w:cs="Calibri"/>
          <w:b/>
        </w:rPr>
        <w:t>8 metros</w:t>
      </w:r>
      <w:r>
        <w:rPr>
          <w:rFonts w:ascii="Calibri" w:hAnsi="Calibri" w:cs="Calibri"/>
          <w:b/>
        </w:rPr>
        <w:t xml:space="preserve">) e </w:t>
      </w:r>
      <w:r w:rsidR="003F711D">
        <w:rPr>
          <w:rFonts w:ascii="Calibri" w:hAnsi="Calibri" w:cs="Calibri"/>
          <w:b/>
        </w:rPr>
        <w:t>alcance de 75% em relação ao alca</w:t>
      </w:r>
      <w:r w:rsidR="00EB6BCC">
        <w:rPr>
          <w:rFonts w:ascii="Calibri" w:hAnsi="Calibri" w:cs="Calibri"/>
          <w:b/>
        </w:rPr>
        <w:t>nce máximo do esguicho (75% de 5</w:t>
      </w:r>
      <w:r w:rsidR="003F711D">
        <w:rPr>
          <w:rFonts w:ascii="Calibri" w:hAnsi="Calibri" w:cs="Calibri"/>
          <w:b/>
        </w:rPr>
        <w:t>8 metros).</w:t>
      </w:r>
    </w:p>
    <w:p w:rsidR="003F711D" w:rsidRDefault="003F711D" w:rsidP="008E2FEF">
      <w:pPr>
        <w:jc w:val="both"/>
        <w:rPr>
          <w:rFonts w:ascii="Calibri" w:hAnsi="Calibri" w:cs="Calibri"/>
          <w:b/>
        </w:rPr>
      </w:pPr>
    </w:p>
    <w:p w:rsidR="003F711D" w:rsidRDefault="00367650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5677535" cy="3547110"/>
            <wp:effectExtent l="1905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354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11D" w:rsidRDefault="003F711D" w:rsidP="008E2FEF">
      <w:pPr>
        <w:jc w:val="both"/>
        <w:rPr>
          <w:rFonts w:ascii="Calibri" w:hAnsi="Calibri" w:cs="Calibri"/>
          <w:b/>
        </w:rPr>
      </w:pPr>
    </w:p>
    <w:p w:rsidR="003F711D" w:rsidRDefault="003F711D" w:rsidP="008E2FEF">
      <w:pPr>
        <w:jc w:val="both"/>
        <w:rPr>
          <w:rFonts w:ascii="Calibri" w:hAnsi="Calibri" w:cs="Calibri"/>
          <w:b/>
        </w:rPr>
      </w:pPr>
    </w:p>
    <w:p w:rsidR="00D617E3" w:rsidRDefault="00166100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  <w:r w:rsidR="00D617E3">
        <w:rPr>
          <w:rFonts w:ascii="Calibri" w:hAnsi="Calibri" w:cs="Calibri"/>
          <w:b/>
        </w:rPr>
        <w:t xml:space="preserve"> </w:t>
      </w:r>
    </w:p>
    <w:sectPr w:rsidR="00D617E3" w:rsidSect="008E2FEF">
      <w:headerReference w:type="even" r:id="rId11"/>
      <w:headerReference w:type="default" r:id="rId12"/>
      <w:headerReference w:type="first" r:id="rId13"/>
      <w:type w:val="continuous"/>
      <w:pgSz w:w="11907" w:h="16840" w:code="9"/>
      <w:pgMar w:top="1701" w:right="1134" w:bottom="1134" w:left="1701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4B7" w:rsidRDefault="00C634B7">
      <w:r>
        <w:separator/>
      </w:r>
    </w:p>
  </w:endnote>
  <w:endnote w:type="continuationSeparator" w:id="0">
    <w:p w:rsidR="00C634B7" w:rsidRDefault="00C634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4B7" w:rsidRDefault="00C634B7">
      <w:r>
        <w:separator/>
      </w:r>
    </w:p>
  </w:footnote>
  <w:footnote w:type="continuationSeparator" w:id="0">
    <w:p w:rsidR="00C634B7" w:rsidRDefault="00C634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D5A" w:rsidRDefault="00B96386">
    <w:pPr>
      <w:rPr>
        <w:sz w:val="19"/>
      </w:rPr>
    </w:pPr>
    <w:r>
      <w:rPr>
        <w:noProof/>
        <w:sz w:val="19"/>
      </w:rPr>
      <w:pict>
        <v:rect id="_x0000_s1025" style="position:absolute;margin-left:303.6pt;margin-top:.5pt;width:177.55pt;height:49.75pt;z-index:251656704" o:allowincell="f" filled="f" strokecolor="lime">
          <v:textbox style="mso-next-textbox:#_x0000_s1025" inset="1pt,1pt,1pt,1pt">
            <w:txbxContent>
              <w:p w:rsidR="00E65D5A" w:rsidRDefault="00E65D5A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</w:t>
                </w:r>
                <w:proofErr w:type="spellStart"/>
                <w:r>
                  <w:rPr>
                    <w:sz w:val="15"/>
                  </w:rPr>
                  <w:t>Parsch</w:t>
                </w:r>
                <w:proofErr w:type="spellEnd"/>
                <w:r>
                  <w:rPr>
                    <w:sz w:val="15"/>
                  </w:rPr>
                  <w:t>, 755 - Distrito Industrial</w:t>
                </w:r>
              </w:p>
              <w:p w:rsidR="00E65D5A" w:rsidRDefault="00E65D5A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E65D5A" w:rsidRDefault="00E65D5A">
                <w:pPr>
                  <w:jc w:val="center"/>
                  <w:rPr>
                    <w:sz w:val="15"/>
                  </w:rPr>
                </w:pPr>
                <w:proofErr w:type="gramStart"/>
                <w:r>
                  <w:rPr>
                    <w:sz w:val="15"/>
                  </w:rPr>
                  <w:t>Fone: (0800))</w:t>
                </w:r>
                <w:proofErr w:type="gramEnd"/>
                <w:r>
                  <w:rPr>
                    <w:sz w:val="15"/>
                  </w:rPr>
                  <w:t xml:space="preserve"> 55.8988 </w:t>
                </w:r>
              </w:p>
              <w:p w:rsidR="00E65D5A" w:rsidRDefault="00E65D5A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E65D5A" w:rsidRDefault="00E65D5A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="00367650">
      <w:rPr>
        <w:noProof/>
        <w:sz w:val="19"/>
      </w:rPr>
      <w:drawing>
        <wp:inline distT="0" distB="0" distL="0" distR="0">
          <wp:extent cx="1808480" cy="593090"/>
          <wp:effectExtent l="19050" t="0" r="1270" b="0"/>
          <wp:docPr id="6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8480" cy="5930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47F" w:rsidRDefault="00367650" w:rsidP="008E2FEF">
    <w:pPr>
      <w:rPr>
        <w:sz w:val="19"/>
      </w:rPr>
    </w:pPr>
    <w:r>
      <w:rPr>
        <w:noProof/>
        <w:sz w:val="19"/>
      </w:rPr>
      <w:drawing>
        <wp:inline distT="0" distB="0" distL="0" distR="0">
          <wp:extent cx="1798955" cy="633095"/>
          <wp:effectExtent l="19050" t="0" r="0" b="0"/>
          <wp:docPr id="1" name="Imagem 55" descr="argus ltda preto e verme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5" descr="argus ltda preto e verme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955" cy="633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65D5A" w:rsidRPr="00AD447F" w:rsidRDefault="00AD447F" w:rsidP="00AD447F">
    <w:pPr>
      <w:jc w:val="right"/>
      <w:rPr>
        <w:rFonts w:asciiTheme="minorHAnsi" w:hAnsiTheme="minorHAnsi" w:cstheme="minorHAnsi"/>
        <w:sz w:val="16"/>
        <w:szCs w:val="16"/>
      </w:rPr>
    </w:pPr>
    <w:proofErr w:type="spellStart"/>
    <w:r w:rsidRPr="00AD447F">
      <w:rPr>
        <w:rFonts w:asciiTheme="minorHAnsi" w:hAnsiTheme="minorHAnsi" w:cstheme="minorHAnsi"/>
        <w:sz w:val="16"/>
        <w:szCs w:val="16"/>
      </w:rPr>
      <w:t>DSE</w:t>
    </w:r>
    <w:proofErr w:type="spellEnd"/>
    <w:r w:rsidRPr="00AD447F">
      <w:rPr>
        <w:rFonts w:asciiTheme="minorHAnsi" w:hAnsiTheme="minorHAnsi" w:cstheme="minorHAnsi"/>
        <w:sz w:val="16"/>
        <w:szCs w:val="16"/>
      </w:rPr>
      <w:t xml:space="preserve"> 0075-0</w:t>
    </w:r>
    <w:r w:rsidR="00B96386" w:rsidRPr="00AD447F">
      <w:rPr>
        <w:rFonts w:asciiTheme="minorHAnsi" w:hAnsiTheme="minorHAnsi" w:cstheme="minorHAnsi"/>
        <w:noProof/>
        <w:sz w:val="16"/>
        <w:szCs w:val="16"/>
      </w:rPr>
      <w:pict>
        <v:rect id="_x0000_s1026" style="position:absolute;left:0;text-align:left;margin-left:346.5pt;margin-top:8.95pt;width:127.15pt;height:57.6pt;z-index:251657728;mso-position-horizontal-relative:text;mso-position-vertical-relative:text" o:allowincell="f" filled="f" stroked="f" strokecolor="blue">
          <v:textbox style="mso-next-textbox:#_x0000_s1026" inset="1pt,1pt,1pt,1pt">
            <w:txbxContent>
              <w:p w:rsidR="00E65D5A" w:rsidRDefault="00E65D5A"/>
            </w:txbxContent>
          </v:textbox>
        </v:rect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D5A" w:rsidRDefault="00B96386">
    <w:pPr>
      <w:rPr>
        <w:sz w:val="19"/>
      </w:rPr>
    </w:pPr>
    <w:r>
      <w:rPr>
        <w:noProof/>
        <w:sz w:val="19"/>
      </w:rPr>
      <w:pict>
        <v:rect id="_x0000_s1027" style="position:absolute;margin-left:262.95pt;margin-top:.1pt;width:177.55pt;height:49.75pt;z-index:251658752" o:allowincell="f" filled="f" strokecolor="lime">
          <v:textbox style="mso-next-textbox:#_x0000_s1027" inset="1pt,1pt,1pt,1pt">
            <w:txbxContent>
              <w:p w:rsidR="00E65D5A" w:rsidRDefault="00E65D5A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</w:t>
                </w:r>
                <w:proofErr w:type="spellStart"/>
                <w:r>
                  <w:rPr>
                    <w:sz w:val="15"/>
                  </w:rPr>
                  <w:t>Parsch</w:t>
                </w:r>
                <w:proofErr w:type="spellEnd"/>
                <w:r>
                  <w:rPr>
                    <w:sz w:val="15"/>
                  </w:rPr>
                  <w:t xml:space="preserve">, 755 - Distrito Industrial </w:t>
                </w:r>
              </w:p>
              <w:p w:rsidR="00E65D5A" w:rsidRDefault="00E65D5A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</w:t>
                </w:r>
                <w:proofErr w:type="gramStart"/>
                <w:r>
                  <w:rPr>
                    <w:sz w:val="15"/>
                  </w:rPr>
                  <w:t xml:space="preserve">  </w:t>
                </w:r>
                <w:proofErr w:type="gramEnd"/>
                <w:r>
                  <w:rPr>
                    <w:sz w:val="15"/>
                  </w:rPr>
                  <w:t>SP</w:t>
                </w:r>
              </w:p>
              <w:p w:rsidR="00E65D5A" w:rsidRDefault="00E65D5A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E65D5A" w:rsidRDefault="00E65D5A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E65D5A" w:rsidRDefault="00E65D5A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="00367650">
      <w:rPr>
        <w:noProof/>
        <w:sz w:val="19"/>
      </w:rPr>
      <w:drawing>
        <wp:inline distT="0" distB="0" distL="0" distR="0">
          <wp:extent cx="1808480" cy="593090"/>
          <wp:effectExtent l="19050" t="0" r="1270" b="0"/>
          <wp:docPr id="7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8480" cy="5930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65D5A" w:rsidRDefault="00E65D5A">
    <w:pPr>
      <w:pBdr>
        <w:bottom w:val="single" w:sz="24" w:space="1" w:color="auto"/>
      </w:pBdr>
      <w:rPr>
        <w:sz w:val="19"/>
      </w:rPr>
    </w:pPr>
  </w:p>
  <w:p w:rsidR="00E65D5A" w:rsidRDefault="00E65D5A">
    <w:pPr>
      <w:pStyle w:val="Cabealho"/>
      <w:rPr>
        <w:sz w:val="19"/>
      </w:rPr>
    </w:pPr>
  </w:p>
  <w:p w:rsidR="00E65D5A" w:rsidRDefault="00E65D5A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164B6"/>
    <w:multiLevelType w:val="singleLevel"/>
    <w:tmpl w:val="E1EA740C"/>
    <w:lvl w:ilvl="0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</w:abstractNum>
  <w:abstractNum w:abstractNumId="1">
    <w:nsid w:val="1397292C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4BF2614"/>
    <w:multiLevelType w:val="hybridMultilevel"/>
    <w:tmpl w:val="2BD0203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36D69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1DB678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EC94AB1"/>
    <w:multiLevelType w:val="singleLevel"/>
    <w:tmpl w:val="7BBAFFC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E7E5917"/>
    <w:multiLevelType w:val="hybridMultilevel"/>
    <w:tmpl w:val="41AE39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5C33B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3C734458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EE97E7D"/>
    <w:multiLevelType w:val="hybridMultilevel"/>
    <w:tmpl w:val="CA326E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E66529"/>
    <w:multiLevelType w:val="singleLevel"/>
    <w:tmpl w:val="5F76CD7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50C3096C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77BD4CDD"/>
    <w:multiLevelType w:val="hybridMultilevel"/>
    <w:tmpl w:val="E58E0A76"/>
    <w:lvl w:ilvl="0" w:tplc="B900DBE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AE5EC0"/>
    <w:multiLevelType w:val="hybridMultilevel"/>
    <w:tmpl w:val="6BC4DB94"/>
    <w:lvl w:ilvl="0" w:tplc="906E576E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B83817"/>
    <w:multiLevelType w:val="multilevel"/>
    <w:tmpl w:val="34DEB8FC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4"/>
  </w:num>
  <w:num w:numId="4">
    <w:abstractNumId w:val="0"/>
  </w:num>
  <w:num w:numId="5">
    <w:abstractNumId w:val="4"/>
  </w:num>
  <w:num w:numId="6">
    <w:abstractNumId w:val="3"/>
  </w:num>
  <w:num w:numId="7">
    <w:abstractNumId w:val="11"/>
  </w:num>
  <w:num w:numId="8">
    <w:abstractNumId w:val="5"/>
  </w:num>
  <w:num w:numId="9">
    <w:abstractNumId w:val="10"/>
  </w:num>
  <w:num w:numId="10">
    <w:abstractNumId w:val="8"/>
  </w:num>
  <w:num w:numId="11">
    <w:abstractNumId w:val="13"/>
  </w:num>
  <w:num w:numId="12">
    <w:abstractNumId w:val="12"/>
  </w:num>
  <w:num w:numId="13">
    <w:abstractNumId w:val="9"/>
  </w:num>
  <w:num w:numId="14">
    <w:abstractNumId w:val="6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enu v:ext="edit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149B0"/>
    <w:rsid w:val="000C7C1F"/>
    <w:rsid w:val="0016142D"/>
    <w:rsid w:val="00166100"/>
    <w:rsid w:val="001762E6"/>
    <w:rsid w:val="001F7656"/>
    <w:rsid w:val="00226184"/>
    <w:rsid w:val="002D1023"/>
    <w:rsid w:val="002E3837"/>
    <w:rsid w:val="002F2A43"/>
    <w:rsid w:val="00367650"/>
    <w:rsid w:val="003D5B0B"/>
    <w:rsid w:val="003F711D"/>
    <w:rsid w:val="00441BA3"/>
    <w:rsid w:val="00450F3B"/>
    <w:rsid w:val="00487AB0"/>
    <w:rsid w:val="004B314D"/>
    <w:rsid w:val="0051775E"/>
    <w:rsid w:val="00562CEF"/>
    <w:rsid w:val="00564596"/>
    <w:rsid w:val="00567D68"/>
    <w:rsid w:val="00593E6A"/>
    <w:rsid w:val="005C0DC5"/>
    <w:rsid w:val="005C7F7C"/>
    <w:rsid w:val="005D2072"/>
    <w:rsid w:val="00613C21"/>
    <w:rsid w:val="007129A7"/>
    <w:rsid w:val="007149B0"/>
    <w:rsid w:val="00762AFA"/>
    <w:rsid w:val="007901AB"/>
    <w:rsid w:val="008162A3"/>
    <w:rsid w:val="00821240"/>
    <w:rsid w:val="00824BD5"/>
    <w:rsid w:val="00842AB3"/>
    <w:rsid w:val="00865C05"/>
    <w:rsid w:val="008842D4"/>
    <w:rsid w:val="008856B7"/>
    <w:rsid w:val="0089108F"/>
    <w:rsid w:val="008912D4"/>
    <w:rsid w:val="008A0775"/>
    <w:rsid w:val="008E2FEF"/>
    <w:rsid w:val="00916307"/>
    <w:rsid w:val="00936028"/>
    <w:rsid w:val="00943DF1"/>
    <w:rsid w:val="00977E81"/>
    <w:rsid w:val="009963EE"/>
    <w:rsid w:val="00A06A90"/>
    <w:rsid w:val="00A40C09"/>
    <w:rsid w:val="00A66841"/>
    <w:rsid w:val="00AD102D"/>
    <w:rsid w:val="00AD447F"/>
    <w:rsid w:val="00B50756"/>
    <w:rsid w:val="00B60B10"/>
    <w:rsid w:val="00B6476F"/>
    <w:rsid w:val="00B72BFD"/>
    <w:rsid w:val="00B96386"/>
    <w:rsid w:val="00BD58B7"/>
    <w:rsid w:val="00C474B5"/>
    <w:rsid w:val="00C60E6D"/>
    <w:rsid w:val="00C634B7"/>
    <w:rsid w:val="00CC331D"/>
    <w:rsid w:val="00CD06C0"/>
    <w:rsid w:val="00CE4B11"/>
    <w:rsid w:val="00D617E3"/>
    <w:rsid w:val="00D62750"/>
    <w:rsid w:val="00DC16F7"/>
    <w:rsid w:val="00E17400"/>
    <w:rsid w:val="00E22787"/>
    <w:rsid w:val="00E65D5A"/>
    <w:rsid w:val="00E740F8"/>
    <w:rsid w:val="00EB6BCC"/>
    <w:rsid w:val="00EC5B79"/>
    <w:rsid w:val="00EF7C5C"/>
    <w:rsid w:val="00F0451D"/>
    <w:rsid w:val="00F677FA"/>
    <w:rsid w:val="00FC2FDA"/>
    <w:rsid w:val="00FF0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strokecolor="none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DF1"/>
  </w:style>
  <w:style w:type="paragraph" w:styleId="Ttulo1">
    <w:name w:val="heading 1"/>
    <w:basedOn w:val="Normal"/>
    <w:next w:val="Normal"/>
    <w:qFormat/>
    <w:rsid w:val="00DC16F7"/>
    <w:pPr>
      <w:keepNext/>
      <w:ind w:left="720" w:hanging="720"/>
      <w:jc w:val="both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DC16F7"/>
    <w:pPr>
      <w:keepNext/>
      <w:pBdr>
        <w:bottom w:val="single" w:sz="6" w:space="1" w:color="auto"/>
      </w:pBdr>
      <w:shd w:val="pct10" w:color="auto" w:fill="auto"/>
      <w:jc w:val="both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DC16F7"/>
    <w:pPr>
      <w:keepNext/>
      <w:spacing w:line="240" w:lineRule="exact"/>
      <w:jc w:val="both"/>
      <w:outlineLvl w:val="2"/>
    </w:pPr>
    <w:rPr>
      <w:rFonts w:ascii="Tahoma" w:hAnsi="Tahoma"/>
      <w:b/>
      <w:u w:val="single"/>
    </w:rPr>
  </w:style>
  <w:style w:type="paragraph" w:styleId="Ttulo4">
    <w:name w:val="heading 4"/>
    <w:basedOn w:val="Normal"/>
    <w:next w:val="Normal"/>
    <w:qFormat/>
    <w:rsid w:val="00DC16F7"/>
    <w:pPr>
      <w:keepNext/>
      <w:spacing w:line="240" w:lineRule="exact"/>
      <w:jc w:val="both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DC16F7"/>
    <w:pPr>
      <w:keepNext/>
      <w:jc w:val="center"/>
      <w:outlineLvl w:val="4"/>
    </w:pPr>
    <w:rPr>
      <w:rFonts w:ascii="Tahoma" w:hAnsi="Tahoma"/>
      <w:b/>
    </w:rPr>
  </w:style>
  <w:style w:type="paragraph" w:styleId="Ttulo6">
    <w:name w:val="heading 6"/>
    <w:basedOn w:val="Normal"/>
    <w:next w:val="Normal"/>
    <w:qFormat/>
    <w:rsid w:val="00DC16F7"/>
    <w:pPr>
      <w:keepNext/>
      <w:shd w:val="pct5" w:color="000000" w:fill="FFFFFF"/>
      <w:outlineLvl w:val="5"/>
    </w:pPr>
    <w:rPr>
      <w:rFonts w:ascii="Tahoma" w:hAnsi="Tahoma"/>
      <w:b/>
      <w:u w:val="single"/>
    </w:rPr>
  </w:style>
  <w:style w:type="paragraph" w:styleId="Ttulo7">
    <w:name w:val="heading 7"/>
    <w:basedOn w:val="Normal"/>
    <w:next w:val="Normal"/>
    <w:qFormat/>
    <w:rsid w:val="00DC16F7"/>
    <w:pPr>
      <w:keepNext/>
      <w:jc w:val="center"/>
      <w:outlineLvl w:val="6"/>
    </w:pPr>
    <w:rPr>
      <w:rFonts w:ascii="Tahoma" w:hAnsi="Tahoma"/>
      <w:b/>
      <w:u w:val="single"/>
    </w:rPr>
  </w:style>
  <w:style w:type="paragraph" w:styleId="Ttulo8">
    <w:name w:val="heading 8"/>
    <w:basedOn w:val="Normal"/>
    <w:next w:val="Normal"/>
    <w:qFormat/>
    <w:rsid w:val="00DC16F7"/>
    <w:pPr>
      <w:keepNext/>
      <w:outlineLvl w:val="7"/>
    </w:pPr>
    <w:rPr>
      <w:b/>
      <w:u w:val="single"/>
    </w:rPr>
  </w:style>
  <w:style w:type="paragraph" w:styleId="Ttulo9">
    <w:name w:val="heading 9"/>
    <w:basedOn w:val="Normal"/>
    <w:next w:val="Normal"/>
    <w:qFormat/>
    <w:rsid w:val="00DC16F7"/>
    <w:pPr>
      <w:keepNext/>
      <w:outlineLvl w:val="8"/>
    </w:pPr>
    <w:rPr>
      <w:rFonts w:ascii="Tahoma" w:hAnsi="Tahoma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DC16F7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DC16F7"/>
    <w:pPr>
      <w:jc w:val="both"/>
    </w:pPr>
    <w:rPr>
      <w:rFonts w:ascii="Arial" w:hAnsi="Arial"/>
    </w:rPr>
  </w:style>
  <w:style w:type="paragraph" w:styleId="Recuodecorpodetexto">
    <w:name w:val="Body Text Indent"/>
    <w:basedOn w:val="Normal"/>
    <w:rsid w:val="00DC16F7"/>
    <w:pPr>
      <w:pBdr>
        <w:top w:val="single" w:sz="6" w:space="1" w:color="auto"/>
      </w:pBdr>
      <w:ind w:left="708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rsid w:val="00DC16F7"/>
    <w:pPr>
      <w:jc w:val="both"/>
    </w:pPr>
    <w:rPr>
      <w:rFonts w:ascii="Arial" w:hAnsi="Arial"/>
      <w:sz w:val="24"/>
    </w:rPr>
  </w:style>
  <w:style w:type="paragraph" w:styleId="Rodap">
    <w:name w:val="footer"/>
    <w:basedOn w:val="Normal"/>
    <w:rsid w:val="00DC16F7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rsid w:val="00DC16F7"/>
    <w:pPr>
      <w:jc w:val="both"/>
    </w:pPr>
    <w:rPr>
      <w:rFonts w:ascii="Tahoma" w:hAnsi="Tahoma"/>
      <w:b/>
    </w:rPr>
  </w:style>
  <w:style w:type="character" w:styleId="Hyperlink">
    <w:name w:val="Hyperlink"/>
    <w:basedOn w:val="Fontepargpadro"/>
    <w:rsid w:val="00DC16F7"/>
    <w:rPr>
      <w:color w:val="0000FF"/>
      <w:u w:val="single"/>
    </w:rPr>
  </w:style>
  <w:style w:type="character" w:styleId="HiperlinkVisitado">
    <w:name w:val="FollowedHyperlink"/>
    <w:basedOn w:val="Fontepargpadro"/>
    <w:rsid w:val="00DC16F7"/>
    <w:rPr>
      <w:color w:val="800080"/>
      <w:u w:val="single"/>
    </w:rPr>
  </w:style>
  <w:style w:type="character" w:styleId="Forte">
    <w:name w:val="Strong"/>
    <w:basedOn w:val="Fontepargpadro"/>
    <w:qFormat/>
    <w:rsid w:val="00DC16F7"/>
    <w:rPr>
      <w:b/>
      <w:bCs/>
    </w:rPr>
  </w:style>
  <w:style w:type="paragraph" w:styleId="Recuodecorpodetexto3">
    <w:name w:val="Body Text Indent 3"/>
    <w:basedOn w:val="Normal"/>
    <w:rsid w:val="00DC16F7"/>
    <w:pPr>
      <w:ind w:left="284" w:hanging="284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62CE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2CEF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EF7C5C"/>
  </w:style>
  <w:style w:type="table" w:styleId="Tabelacomgrade">
    <w:name w:val="Table Grid"/>
    <w:basedOn w:val="Tabelanormal"/>
    <w:uiPriority w:val="59"/>
    <w:rsid w:val="00FC2F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43D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VSJSPF5W7CMM-67369930-53435</_dlc_DocId>
    <_dlc_DocIdUrl xmlns="6d66776d-687b-47d6-8714-c81a05909059">
      <Url>https://argusengenharia.sharepoint.com/sites/WORK-SP/_layouts/15/DocIdRedir.aspx?ID=VSJSPF5W7CMM-67369930-53435</Url>
      <Description>VSJSPF5W7CMM-67369930-53435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8DF20A26-5AE1-4B5B-BBDC-36C5BA29FFC6}"/>
</file>

<file path=customXml/itemProps2.xml><?xml version="1.0" encoding="utf-8"?>
<ds:datastoreItem xmlns:ds="http://schemas.openxmlformats.org/officeDocument/2006/customXml" ds:itemID="{4C5602F0-8555-4550-806C-4110E0CEC7B8}"/>
</file>

<file path=customXml/itemProps3.xml><?xml version="1.0" encoding="utf-8"?>
<ds:datastoreItem xmlns:ds="http://schemas.openxmlformats.org/officeDocument/2006/customXml" ds:itemID="{75EE88E8-D481-42B7-8283-42514C56648C}"/>
</file>

<file path=customXml/itemProps4.xml><?xml version="1.0" encoding="utf-8"?>
<ds:datastoreItem xmlns:ds="http://schemas.openxmlformats.org/officeDocument/2006/customXml" ds:itemID="{FC4A8983-A01C-4643-BB17-234C736564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869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MONITOR FIXO SCORPION FM</vt:lpstr>
    </vt:vector>
  </TitlesOfParts>
  <Company>Resmat Parsch Ltda</Company>
  <LinksUpToDate>false</LinksUpToDate>
  <CharactersWithSpaces>5459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MONITOR FIXO SCORPION FM</dc:title>
  <dc:creator>WSARGUS15</dc:creator>
  <cp:keywords>Argus Engenharia</cp:keywords>
  <cp:lastModifiedBy>wsargus15</cp:lastModifiedBy>
  <cp:revision>3</cp:revision>
  <cp:lastPrinted>2003-05-08T19:50:00Z</cp:lastPrinted>
  <dcterms:created xsi:type="dcterms:W3CDTF">2012-02-24T10:42:00Z</dcterms:created>
  <dcterms:modified xsi:type="dcterms:W3CDTF">2012-02-24T10:48:00Z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d9677543-f8b7-415f-a507-6c92fe7e49af</vt:lpwstr>
  </property>
</Properties>
</file>